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附件2</w:t>
      </w:r>
    </w:p>
    <w:p>
      <w:pPr>
        <w:spacing w:line="50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评分细则</w:t>
      </w:r>
    </w:p>
    <w:p>
      <w:pPr>
        <w:spacing w:line="50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tbl>
      <w:tblPr>
        <w:tblStyle w:val="3"/>
        <w:tblW w:w="88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510"/>
        <w:gridCol w:w="795"/>
        <w:gridCol w:w="436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1510" w:type="dxa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项目</w:t>
            </w:r>
          </w:p>
        </w:tc>
        <w:tc>
          <w:tcPr>
            <w:tcW w:w="795" w:type="dxa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分值</w:t>
            </w:r>
          </w:p>
        </w:tc>
        <w:tc>
          <w:tcPr>
            <w:tcW w:w="4365" w:type="dxa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评分细则</w:t>
            </w:r>
          </w:p>
        </w:tc>
        <w:tc>
          <w:tcPr>
            <w:tcW w:w="1440" w:type="dxa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51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项目报价</w:t>
            </w:r>
          </w:p>
        </w:tc>
        <w:tc>
          <w:tcPr>
            <w:tcW w:w="795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50</w:t>
            </w:r>
          </w:p>
        </w:tc>
        <w:tc>
          <w:tcPr>
            <w:tcW w:w="4365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所有投标人有效报价的算术平均值为评标基准价，以评标基准价为基准，等于基准价得满分50分，高于评标基准价一个百分点扣2分；低于评标基准价一个百分点扣1分，扣完为止。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0-50分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51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检测方案</w:t>
            </w:r>
          </w:p>
        </w:tc>
        <w:tc>
          <w:tcPr>
            <w:tcW w:w="7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20</w:t>
            </w:r>
          </w:p>
        </w:tc>
        <w:tc>
          <w:tcPr>
            <w:tcW w:w="4365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周密，合理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-</w:t>
            </w:r>
            <w:r>
              <w:rPr>
                <w:rFonts w:ascii="仿宋_GB2312" w:hAnsi="仿宋_GB2312" w:eastAsia="仿宋_GB2312" w:cs="仿宋_GB2312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65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一般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65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不合理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151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检测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进度计划及保证措施</w:t>
            </w:r>
          </w:p>
        </w:tc>
        <w:tc>
          <w:tcPr>
            <w:tcW w:w="7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</w:t>
            </w:r>
          </w:p>
        </w:tc>
        <w:tc>
          <w:tcPr>
            <w:tcW w:w="4365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周密，合理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65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一般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65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不合理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-</w:t>
            </w:r>
            <w:r>
              <w:rPr>
                <w:rFonts w:ascii="仿宋_GB2312" w:hAnsi="仿宋_GB2312" w:eastAsia="仿宋_GB2312" w:cs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</w:p>
        </w:tc>
        <w:tc>
          <w:tcPr>
            <w:tcW w:w="151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服务承诺</w:t>
            </w:r>
          </w:p>
        </w:tc>
        <w:tc>
          <w:tcPr>
            <w:tcW w:w="79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</w:t>
            </w:r>
          </w:p>
        </w:tc>
        <w:tc>
          <w:tcPr>
            <w:tcW w:w="4365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服务承诺及质保完善，可行性好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7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65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服务承诺及质保较好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65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服务承诺及质保一般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-</w:t>
            </w:r>
            <w:r>
              <w:rPr>
                <w:rFonts w:ascii="仿宋_GB2312" w:hAnsi="仿宋_GB2312" w:eastAsia="仿宋_GB2312" w:cs="仿宋_GB2312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exact"/>
        </w:trPr>
        <w:tc>
          <w:tcPr>
            <w:tcW w:w="7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</w:p>
        </w:tc>
        <w:tc>
          <w:tcPr>
            <w:tcW w:w="151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类似业绩</w:t>
            </w:r>
          </w:p>
        </w:tc>
        <w:tc>
          <w:tcPr>
            <w:tcW w:w="795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</w:t>
            </w:r>
          </w:p>
        </w:tc>
        <w:tc>
          <w:tcPr>
            <w:tcW w:w="4365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年内每有一个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万元以上类似业绩加</w:t>
            </w:r>
            <w:r>
              <w:rPr>
                <w:rFonts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分，加满为止。（提供加盖公章的合同复印件）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</w:trPr>
        <w:tc>
          <w:tcPr>
            <w:tcW w:w="229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合计</w:t>
            </w:r>
          </w:p>
        </w:tc>
        <w:tc>
          <w:tcPr>
            <w:tcW w:w="795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100</w:t>
            </w:r>
          </w:p>
        </w:tc>
        <w:tc>
          <w:tcPr>
            <w:tcW w:w="436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line="560" w:lineRule="exact"/>
        <w:ind w:firstLine="4486" w:firstLineChars="1402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